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DB3A6" w14:textId="03C3742A" w:rsidR="00EF351A" w:rsidRPr="000B200E" w:rsidRDefault="005B4D5A" w:rsidP="000B200E">
      <w:pPr>
        <w:pStyle w:val="Heading2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5B4D5A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REMOVE AND REPLACE CONCRETE </w:t>
      </w:r>
      <w:r w:rsidR="004D647F">
        <w:rPr>
          <w:rFonts w:ascii="Times New Roman" w:hAnsi="Times New Roman" w:cs="Times New Roman"/>
          <w:color w:val="auto"/>
          <w:sz w:val="24"/>
          <w:szCs w:val="24"/>
          <w:u w:val="single"/>
        </w:rPr>
        <w:t>TRANSITIONAL SECTION</w:t>
      </w:r>
      <w:r w:rsidR="00D83C45" w:rsidRPr="000B200E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79"/>
        <w:gridCol w:w="3049"/>
        <w:gridCol w:w="3132"/>
      </w:tblGrid>
      <w:tr w:rsidR="00573711" w14:paraId="7363A67A" w14:textId="77777777" w:rsidTr="00006AEE">
        <w:tc>
          <w:tcPr>
            <w:tcW w:w="3179" w:type="dxa"/>
          </w:tcPr>
          <w:p w14:paraId="0BD1DEBE" w14:textId="72E99858" w:rsidR="00573711" w:rsidRDefault="00573711" w:rsidP="00573711">
            <w:pPr>
              <w:keepNext/>
              <w:keepLine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FF17A7">
              <w:rPr>
                <w:sz w:val="16"/>
                <w:szCs w:val="16"/>
              </w:rPr>
              <w:t>9</w:t>
            </w:r>
            <w:r w:rsidRPr="000C4F96">
              <w:rPr>
                <w:sz w:val="16"/>
                <w:szCs w:val="16"/>
              </w:rPr>
              <w:t>-1</w:t>
            </w:r>
            <w:r w:rsidR="00FF17A7">
              <w:rPr>
                <w:sz w:val="16"/>
                <w:szCs w:val="16"/>
              </w:rPr>
              <w:t>6</w:t>
            </w:r>
            <w:r w:rsidRPr="000C4F96">
              <w:rPr>
                <w:sz w:val="16"/>
                <w:szCs w:val="16"/>
              </w:rPr>
              <w:t>-25)</w:t>
            </w:r>
          </w:p>
        </w:tc>
        <w:tc>
          <w:tcPr>
            <w:tcW w:w="3049" w:type="dxa"/>
          </w:tcPr>
          <w:p w14:paraId="2D395802" w14:textId="48BAC1EC" w:rsidR="00573711" w:rsidRDefault="00573711" w:rsidP="00573711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852</w:t>
            </w:r>
          </w:p>
        </w:tc>
        <w:tc>
          <w:tcPr>
            <w:tcW w:w="3132" w:type="dxa"/>
          </w:tcPr>
          <w:p w14:paraId="0D5AE72F" w14:textId="180F4395" w:rsidR="00573711" w:rsidRDefault="003170F5" w:rsidP="00573711">
            <w:pPr>
              <w:keepNext/>
              <w:keepLine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SPI 8-71</w:t>
            </w:r>
          </w:p>
        </w:tc>
      </w:tr>
    </w:tbl>
    <w:p w14:paraId="50F67D32" w14:textId="77777777" w:rsidR="00D83C45" w:rsidRDefault="00D83C45" w:rsidP="000B200E">
      <w:pPr>
        <w:keepNext/>
        <w:keepLines/>
        <w:jc w:val="both"/>
      </w:pPr>
    </w:p>
    <w:p w14:paraId="1B2DD024" w14:textId="77777777" w:rsidR="00D83C45" w:rsidRDefault="00D83C45" w:rsidP="000B200E">
      <w:pPr>
        <w:keepNext/>
        <w:keepLines/>
        <w:jc w:val="both"/>
        <w:rPr>
          <w:b/>
        </w:rPr>
      </w:pPr>
      <w:r w:rsidRPr="00D83C45">
        <w:rPr>
          <w:b/>
        </w:rPr>
        <w:t>Description</w:t>
      </w:r>
    </w:p>
    <w:p w14:paraId="4796BAE9" w14:textId="77777777" w:rsidR="00D83C45" w:rsidRDefault="00D83C45" w:rsidP="000B200E">
      <w:pPr>
        <w:keepNext/>
        <w:keepLines/>
        <w:jc w:val="both"/>
      </w:pPr>
    </w:p>
    <w:p w14:paraId="3EBFBBA2" w14:textId="7DC8FC6D" w:rsidR="00481493" w:rsidRDefault="003A5531" w:rsidP="000B200E">
      <w:pPr>
        <w:keepNext/>
        <w:keepLines/>
        <w:jc w:val="both"/>
      </w:pPr>
      <w:r>
        <w:t>R</w:t>
      </w:r>
      <w:r w:rsidR="00481493" w:rsidRPr="00481493">
        <w:t>emov</w:t>
      </w:r>
      <w:r>
        <w:t>e</w:t>
      </w:r>
      <w:r w:rsidR="00481051">
        <w:t>, dispose</w:t>
      </w:r>
      <w:r w:rsidR="00481493" w:rsidRPr="00481493">
        <w:t xml:space="preserve"> and </w:t>
      </w:r>
      <w:r w:rsidRPr="00481493">
        <w:t>replac</w:t>
      </w:r>
      <w:r>
        <w:t>e</w:t>
      </w:r>
      <w:r w:rsidRPr="00481493">
        <w:t xml:space="preserve"> </w:t>
      </w:r>
      <w:r w:rsidR="00481493" w:rsidRPr="00481493">
        <w:t xml:space="preserve">concrete </w:t>
      </w:r>
      <w:r w:rsidR="00BC20F2">
        <w:t>transitional</w:t>
      </w:r>
      <w:r w:rsidR="00481493" w:rsidRPr="00481493">
        <w:t xml:space="preserve"> </w:t>
      </w:r>
      <w:r w:rsidR="00BC20F2">
        <w:t xml:space="preserve">sections </w:t>
      </w:r>
      <w:r w:rsidR="00C22A89">
        <w:t xml:space="preserve">for </w:t>
      </w:r>
      <w:r w:rsidR="004F783D" w:rsidRPr="004F783D">
        <w:t xml:space="preserve">catch basins and/or drop inlets </w:t>
      </w:r>
      <w:r w:rsidR="00BC20F2">
        <w:t xml:space="preserve">at </w:t>
      </w:r>
      <w:r w:rsidR="00481493" w:rsidRPr="00481493">
        <w:t xml:space="preserve">existing </w:t>
      </w:r>
      <w:r w:rsidR="00BC20F2">
        <w:t>concrete islands or grass medians</w:t>
      </w:r>
      <w:r w:rsidR="00C22A89">
        <w:t xml:space="preserve"> </w:t>
      </w:r>
      <w:r w:rsidR="00D95C45">
        <w:t xml:space="preserve">in accordance with </w:t>
      </w:r>
      <w:r w:rsidR="00C22A89">
        <w:t xml:space="preserve">Section 852 of the </w:t>
      </w:r>
      <w:r w:rsidR="00C22A89" w:rsidRPr="00C22A89">
        <w:rPr>
          <w:i/>
          <w:iCs/>
        </w:rPr>
        <w:t>Standard Specifications</w:t>
      </w:r>
      <w:r w:rsidR="00C22A89">
        <w:t xml:space="preserve">, the </w:t>
      </w:r>
      <w:r w:rsidR="00C22A89" w:rsidRPr="00C22A89">
        <w:rPr>
          <w:i/>
          <w:iCs/>
        </w:rPr>
        <w:t>Roadway Standard Drawings</w:t>
      </w:r>
      <w:r w:rsidR="00C22A89">
        <w:rPr>
          <w:i/>
          <w:iCs/>
        </w:rPr>
        <w:t xml:space="preserve"> </w:t>
      </w:r>
      <w:r w:rsidR="00C22A89">
        <w:t>No. 852.04, 852.05, 852.06, and 852.07</w:t>
      </w:r>
      <w:r w:rsidR="00AB4F73">
        <w:t>, at locations indicated in the plans</w:t>
      </w:r>
      <w:r w:rsidR="00C22A89">
        <w:t xml:space="preserve"> </w:t>
      </w:r>
      <w:r w:rsidR="00AB4F73">
        <w:t>or</w:t>
      </w:r>
      <w:r w:rsidR="00C22A89">
        <w:t xml:space="preserve"> as directed by the Engineer</w:t>
      </w:r>
      <w:r w:rsidR="00481493" w:rsidRPr="00481493">
        <w:t>.</w:t>
      </w:r>
      <w:r w:rsidR="00481051">
        <w:t xml:space="preserve">  </w:t>
      </w:r>
    </w:p>
    <w:p w14:paraId="55F5DFA6" w14:textId="77777777" w:rsidR="00347F9F" w:rsidRDefault="00347F9F" w:rsidP="000B200E">
      <w:pPr>
        <w:keepNext/>
        <w:keepLines/>
        <w:jc w:val="both"/>
      </w:pPr>
    </w:p>
    <w:p w14:paraId="2CE03834" w14:textId="1B2C28A2" w:rsidR="00B47988" w:rsidRDefault="00B47988" w:rsidP="000B200E">
      <w:pPr>
        <w:keepNext/>
        <w:keepLines/>
        <w:jc w:val="both"/>
      </w:pPr>
      <w:bookmarkStart w:id="0" w:name="_Hlk201740431"/>
      <w:r w:rsidRPr="00B47988">
        <w:rPr>
          <w:b/>
        </w:rPr>
        <w:t>Materials</w:t>
      </w:r>
    </w:p>
    <w:p w14:paraId="30D8E9C6" w14:textId="081F8E2B" w:rsidR="00B47988" w:rsidRDefault="00B47988" w:rsidP="000B200E">
      <w:pPr>
        <w:keepNext/>
        <w:keepLines/>
        <w:jc w:val="both"/>
      </w:pPr>
    </w:p>
    <w:p w14:paraId="7E0437C3" w14:textId="0CB86DC8" w:rsidR="00AB4F73" w:rsidRDefault="00AB4F73" w:rsidP="00AB4F73">
      <w:pPr>
        <w:keepNext/>
        <w:keepLines/>
        <w:jc w:val="both"/>
      </w:pPr>
      <w:r>
        <w:t xml:space="preserve">Use </w:t>
      </w:r>
      <w:r w:rsidR="0057342D">
        <w:t>concrete transitional section materials</w:t>
      </w:r>
      <w:r w:rsidRPr="007D5860">
        <w:t xml:space="preserve"> meeting the requirements of Article </w:t>
      </w:r>
      <w:r>
        <w:t xml:space="preserve">852-2 </w:t>
      </w:r>
      <w:r w:rsidRPr="007D5860">
        <w:t xml:space="preserve">of the </w:t>
      </w:r>
      <w:r w:rsidRPr="007D5860">
        <w:rPr>
          <w:i/>
          <w:iCs/>
        </w:rPr>
        <w:t>Standard Specifications</w:t>
      </w:r>
      <w:r>
        <w:t>.</w:t>
      </w:r>
    </w:p>
    <w:bookmarkEnd w:id="0"/>
    <w:p w14:paraId="27942ABE" w14:textId="77777777" w:rsidR="00347F9F" w:rsidRDefault="00347F9F" w:rsidP="00AB4F73">
      <w:pPr>
        <w:keepNext/>
        <w:keepLines/>
        <w:jc w:val="both"/>
      </w:pPr>
    </w:p>
    <w:p w14:paraId="73BCB833" w14:textId="55FC9532" w:rsidR="006F24CE" w:rsidRDefault="006F24CE" w:rsidP="00F322B8">
      <w:pPr>
        <w:jc w:val="both"/>
        <w:rPr>
          <w:b/>
        </w:rPr>
      </w:pPr>
      <w:r w:rsidRPr="006F24CE">
        <w:rPr>
          <w:b/>
        </w:rPr>
        <w:t>Construction Methods</w:t>
      </w:r>
    </w:p>
    <w:p w14:paraId="29F36341" w14:textId="472682DA" w:rsidR="006F24CE" w:rsidRPr="006F24CE" w:rsidRDefault="006F24CE" w:rsidP="00F322B8">
      <w:pPr>
        <w:jc w:val="both"/>
      </w:pPr>
    </w:p>
    <w:p w14:paraId="16852821" w14:textId="164DD3B9" w:rsidR="00261669" w:rsidRDefault="00AB4F73" w:rsidP="00F322B8">
      <w:pPr>
        <w:keepNext/>
        <w:keepLines/>
        <w:jc w:val="both"/>
      </w:pPr>
      <w:r>
        <w:t xml:space="preserve">Remove and replace </w:t>
      </w:r>
      <w:r w:rsidRPr="0046066C">
        <w:t>damaged concrete</w:t>
      </w:r>
      <w:r>
        <w:t xml:space="preserve"> transitional sections</w:t>
      </w:r>
      <w:r w:rsidRPr="0046066C">
        <w:t xml:space="preserve"> </w:t>
      </w:r>
      <w:r>
        <w:t xml:space="preserve">for drop inlets and/or catch basins at locations indicated in the plans or as directed by the Engineer.  Dispose of materials and debris in accordance with Section 802 of the </w:t>
      </w:r>
      <w:r w:rsidRPr="00F701C0">
        <w:rPr>
          <w:i/>
          <w:iCs/>
        </w:rPr>
        <w:t>Standard Specifications</w:t>
      </w:r>
      <w:r w:rsidR="00261669">
        <w:t>.</w:t>
      </w:r>
      <w:r w:rsidR="00347F9F">
        <w:t xml:space="preserve">  </w:t>
      </w:r>
      <w:bookmarkStart w:id="1" w:name="_Hlk201740581"/>
      <w:r w:rsidR="00347F9F">
        <w:t xml:space="preserve">Construct concrete transitional sections in accordance with Article 852-3 of the </w:t>
      </w:r>
      <w:r w:rsidR="00347F9F" w:rsidRPr="002E3601">
        <w:rPr>
          <w:i/>
          <w:iCs/>
        </w:rPr>
        <w:t>Standard Specifications</w:t>
      </w:r>
      <w:r w:rsidR="00347F9F">
        <w:t xml:space="preserve"> and </w:t>
      </w:r>
      <w:r w:rsidR="00347F9F" w:rsidRPr="002E3601">
        <w:rPr>
          <w:i/>
          <w:iCs/>
        </w:rPr>
        <w:t>Roadway Standard Drawings</w:t>
      </w:r>
      <w:r w:rsidR="00347F9F">
        <w:t>.</w:t>
      </w:r>
    </w:p>
    <w:bookmarkEnd w:id="1"/>
    <w:p w14:paraId="33243FEE" w14:textId="77777777" w:rsidR="002829AD" w:rsidRDefault="002829AD" w:rsidP="00261669">
      <w:pPr>
        <w:jc w:val="both"/>
      </w:pPr>
    </w:p>
    <w:p w14:paraId="68A201B3" w14:textId="77777777" w:rsidR="007745B1" w:rsidRPr="007745B1" w:rsidRDefault="007745B1" w:rsidP="007745B1">
      <w:pPr>
        <w:jc w:val="both"/>
      </w:pPr>
      <w:r w:rsidRPr="007745B1">
        <w:t xml:space="preserve">Seed and mulch in accordance with Section 1660 of the </w:t>
      </w:r>
      <w:r w:rsidRPr="007745B1">
        <w:rPr>
          <w:i/>
          <w:iCs/>
        </w:rPr>
        <w:t>Standard Specifications</w:t>
      </w:r>
      <w:r w:rsidRPr="007745B1">
        <w:t xml:space="preserve"> and seed mix special provision found elsewhere in the contract.</w:t>
      </w:r>
    </w:p>
    <w:p w14:paraId="02108833" w14:textId="77777777" w:rsidR="007745B1" w:rsidRDefault="007745B1" w:rsidP="00261669">
      <w:pPr>
        <w:jc w:val="both"/>
      </w:pPr>
    </w:p>
    <w:p w14:paraId="18251EEF" w14:textId="77777777" w:rsidR="00D75DA4" w:rsidRDefault="00D75DA4" w:rsidP="000B200E">
      <w:pPr>
        <w:keepNext/>
        <w:keepLines/>
        <w:jc w:val="both"/>
        <w:rPr>
          <w:b/>
        </w:rPr>
      </w:pPr>
      <w:r w:rsidRPr="00D75DA4">
        <w:rPr>
          <w:b/>
        </w:rPr>
        <w:t>Measurement and Payment</w:t>
      </w:r>
    </w:p>
    <w:p w14:paraId="63208738" w14:textId="77777777" w:rsidR="00D75DA4" w:rsidRDefault="00D75DA4" w:rsidP="000B200E">
      <w:pPr>
        <w:keepNext/>
        <w:keepLines/>
        <w:jc w:val="both"/>
      </w:pPr>
    </w:p>
    <w:p w14:paraId="627DC0DC" w14:textId="247E5790" w:rsidR="00134613" w:rsidRDefault="00134613" w:rsidP="00134613">
      <w:pPr>
        <w:keepNext/>
        <w:keepLines/>
        <w:jc w:val="both"/>
      </w:pPr>
      <w:r w:rsidRPr="00134613">
        <w:rPr>
          <w:i/>
          <w:iCs/>
        </w:rPr>
        <w:t>Remove and Replace Concrete Transitional Section for Catch Basin</w:t>
      </w:r>
      <w:r>
        <w:t xml:space="preserve"> will be measured and paid in units of each.</w:t>
      </w:r>
      <w:r w:rsidR="007745B1">
        <w:t xml:space="preserve">  </w:t>
      </w:r>
      <w:r w:rsidR="007745B1" w:rsidRPr="007745B1">
        <w:t xml:space="preserve">Work shall include, but </w:t>
      </w:r>
      <w:r w:rsidR="00F96D8A">
        <w:t>is not</w:t>
      </w:r>
      <w:r w:rsidR="007745B1" w:rsidRPr="007745B1">
        <w:t xml:space="preserve"> limited to,</w:t>
      </w:r>
      <w:r w:rsidR="007745B1">
        <w:t xml:space="preserve"> remove and replace concrete transitional section, seeding and mulching and any incidentals necessary to complete the work.</w:t>
      </w:r>
    </w:p>
    <w:p w14:paraId="624A2F65" w14:textId="77777777" w:rsidR="00134613" w:rsidRDefault="00134613" w:rsidP="00134613">
      <w:pPr>
        <w:keepNext/>
        <w:keepLines/>
        <w:jc w:val="both"/>
      </w:pPr>
    </w:p>
    <w:p w14:paraId="0D5C9E34" w14:textId="444E4F35" w:rsidR="00134613" w:rsidRDefault="00134613" w:rsidP="00134613">
      <w:pPr>
        <w:keepNext/>
        <w:keepLines/>
        <w:jc w:val="both"/>
      </w:pPr>
      <w:r w:rsidRPr="00134613">
        <w:rPr>
          <w:i/>
          <w:iCs/>
        </w:rPr>
        <w:t>Remove and Replace</w:t>
      </w:r>
      <w:r>
        <w:t xml:space="preserve"> </w:t>
      </w:r>
      <w:r w:rsidRPr="00134613">
        <w:rPr>
          <w:i/>
          <w:iCs/>
        </w:rPr>
        <w:t>Concrete Transitional Section for Drop Inlet</w:t>
      </w:r>
      <w:r>
        <w:t xml:space="preserve"> will be measured and paid in units of each.</w:t>
      </w:r>
      <w:r w:rsidR="007745B1">
        <w:t xml:space="preserve">  </w:t>
      </w:r>
      <w:r w:rsidR="007745B1" w:rsidRPr="007745B1">
        <w:t xml:space="preserve">Work shall include, but </w:t>
      </w:r>
      <w:r w:rsidR="00F96D8A">
        <w:t>is not</w:t>
      </w:r>
      <w:r w:rsidR="007745B1" w:rsidRPr="007745B1">
        <w:t xml:space="preserve"> limited to,</w:t>
      </w:r>
      <w:r w:rsidR="007745B1">
        <w:t xml:space="preserve"> remove and replace concrete transitional section, seeding and mulching and any incidentals necessary to complete the work.</w:t>
      </w:r>
    </w:p>
    <w:p w14:paraId="25B8842F" w14:textId="77777777" w:rsidR="00134613" w:rsidRDefault="00134613" w:rsidP="00134613">
      <w:pPr>
        <w:keepNext/>
        <w:keepLines/>
        <w:jc w:val="both"/>
      </w:pPr>
    </w:p>
    <w:p w14:paraId="2C2A3C69" w14:textId="7A378158" w:rsidR="00774FFA" w:rsidRDefault="00774FFA" w:rsidP="00D83C45">
      <w:pPr>
        <w:jc w:val="both"/>
      </w:pPr>
      <w:r>
        <w:t>Payment will be made under:</w:t>
      </w:r>
    </w:p>
    <w:p w14:paraId="6B5C57B7" w14:textId="77777777" w:rsidR="00774FFA" w:rsidRDefault="00774FFA" w:rsidP="00D83C45">
      <w:pPr>
        <w:jc w:val="both"/>
      </w:pPr>
    </w:p>
    <w:tbl>
      <w:tblPr>
        <w:tblStyle w:val="TableGrid"/>
        <w:tblW w:w="9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689"/>
        <w:gridCol w:w="1767"/>
      </w:tblGrid>
      <w:tr w:rsidR="00774FFA" w14:paraId="6A67F99D" w14:textId="77777777" w:rsidTr="008E1A45">
        <w:tc>
          <w:tcPr>
            <w:tcW w:w="7689" w:type="dxa"/>
          </w:tcPr>
          <w:p w14:paraId="509E03F0" w14:textId="77777777" w:rsidR="00774FFA" w:rsidRPr="008E1A45" w:rsidRDefault="00774FFA" w:rsidP="000B200E">
            <w:pPr>
              <w:keepNext/>
              <w:keepLines/>
              <w:jc w:val="both"/>
              <w:rPr>
                <w:b/>
              </w:rPr>
            </w:pPr>
            <w:r w:rsidRPr="008E1A45">
              <w:rPr>
                <w:b/>
              </w:rPr>
              <w:t>Pay Item</w:t>
            </w:r>
          </w:p>
        </w:tc>
        <w:tc>
          <w:tcPr>
            <w:tcW w:w="1767" w:type="dxa"/>
          </w:tcPr>
          <w:p w14:paraId="5909DCC9" w14:textId="77777777" w:rsidR="00774FFA" w:rsidRPr="008E1A45" w:rsidRDefault="00774FFA" w:rsidP="000B200E">
            <w:pPr>
              <w:keepNext/>
              <w:keepLines/>
              <w:jc w:val="both"/>
              <w:rPr>
                <w:b/>
              </w:rPr>
            </w:pPr>
            <w:r w:rsidRPr="008E1A45">
              <w:rPr>
                <w:b/>
              </w:rPr>
              <w:t>Pay Unit</w:t>
            </w:r>
          </w:p>
        </w:tc>
      </w:tr>
      <w:tr w:rsidR="00774FFA" w14:paraId="17E75C11" w14:textId="77777777" w:rsidTr="008E1A45">
        <w:tc>
          <w:tcPr>
            <w:tcW w:w="7689" w:type="dxa"/>
          </w:tcPr>
          <w:p w14:paraId="31DFD9C6" w14:textId="7C978B58" w:rsidR="00774FFA" w:rsidRDefault="00BA3B4D" w:rsidP="000B200E">
            <w:pPr>
              <w:keepNext/>
              <w:keepLines/>
              <w:jc w:val="both"/>
            </w:pPr>
            <w:r w:rsidRPr="00BA3B4D">
              <w:t>Remove and Replace Concrete Transitional Section for Catch Basin</w:t>
            </w:r>
          </w:p>
        </w:tc>
        <w:tc>
          <w:tcPr>
            <w:tcW w:w="1767" w:type="dxa"/>
          </w:tcPr>
          <w:p w14:paraId="73B23D52" w14:textId="3B3A781B" w:rsidR="00774FFA" w:rsidRDefault="00BA3B4D" w:rsidP="000B200E">
            <w:pPr>
              <w:keepNext/>
              <w:keepLines/>
              <w:jc w:val="both"/>
            </w:pPr>
            <w:r>
              <w:t>Each</w:t>
            </w:r>
          </w:p>
        </w:tc>
      </w:tr>
      <w:tr w:rsidR="008C28FC" w14:paraId="4BF17668" w14:textId="77777777" w:rsidTr="008E1A45">
        <w:tc>
          <w:tcPr>
            <w:tcW w:w="7689" w:type="dxa"/>
          </w:tcPr>
          <w:p w14:paraId="21C3B399" w14:textId="46EAAC7C" w:rsidR="008C28FC" w:rsidRDefault="00BA3B4D" w:rsidP="000B200E">
            <w:pPr>
              <w:keepNext/>
              <w:keepLines/>
              <w:jc w:val="both"/>
            </w:pPr>
            <w:r w:rsidRPr="00BA3B4D">
              <w:t>Remove and Replace Concrete Transitional Section for Drop Inlet</w:t>
            </w:r>
          </w:p>
        </w:tc>
        <w:tc>
          <w:tcPr>
            <w:tcW w:w="1767" w:type="dxa"/>
          </w:tcPr>
          <w:p w14:paraId="6BCDA9A1" w14:textId="2FADF7DC" w:rsidR="008C28FC" w:rsidRDefault="00BA3B4D" w:rsidP="000B200E">
            <w:pPr>
              <w:keepNext/>
              <w:keepLines/>
              <w:jc w:val="both"/>
            </w:pPr>
            <w:r>
              <w:t>Each</w:t>
            </w:r>
          </w:p>
        </w:tc>
      </w:tr>
    </w:tbl>
    <w:p w14:paraId="0958436F" w14:textId="77777777" w:rsidR="00774FFA" w:rsidRDefault="00774FFA" w:rsidP="000B200E">
      <w:pPr>
        <w:keepNext/>
        <w:keepLines/>
        <w:jc w:val="both"/>
      </w:pPr>
    </w:p>
    <w:sectPr w:rsidR="00774FFA" w:rsidSect="00EF351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C45"/>
    <w:rsid w:val="00006AEE"/>
    <w:rsid w:val="00076937"/>
    <w:rsid w:val="00083ADE"/>
    <w:rsid w:val="000B200E"/>
    <w:rsid w:val="000C02D1"/>
    <w:rsid w:val="00134613"/>
    <w:rsid w:val="00137EE5"/>
    <w:rsid w:val="00145DE5"/>
    <w:rsid w:val="00184040"/>
    <w:rsid w:val="001B0960"/>
    <w:rsid w:val="001C6B3A"/>
    <w:rsid w:val="001F0C0B"/>
    <w:rsid w:val="0020187D"/>
    <w:rsid w:val="00207DD0"/>
    <w:rsid w:val="00261669"/>
    <w:rsid w:val="00276BDC"/>
    <w:rsid w:val="002829AD"/>
    <w:rsid w:val="00283CF1"/>
    <w:rsid w:val="00292D5F"/>
    <w:rsid w:val="002B0244"/>
    <w:rsid w:val="002E5BF7"/>
    <w:rsid w:val="002F53AB"/>
    <w:rsid w:val="00316011"/>
    <w:rsid w:val="003170F5"/>
    <w:rsid w:val="003333A2"/>
    <w:rsid w:val="00335678"/>
    <w:rsid w:val="00347F9F"/>
    <w:rsid w:val="00370FEE"/>
    <w:rsid w:val="0038150C"/>
    <w:rsid w:val="003A5531"/>
    <w:rsid w:val="003B1B5B"/>
    <w:rsid w:val="003D4CB1"/>
    <w:rsid w:val="003D517E"/>
    <w:rsid w:val="003E5549"/>
    <w:rsid w:val="003F00F7"/>
    <w:rsid w:val="0041765A"/>
    <w:rsid w:val="00481051"/>
    <w:rsid w:val="00481493"/>
    <w:rsid w:val="00492914"/>
    <w:rsid w:val="004A42A3"/>
    <w:rsid w:val="004B158E"/>
    <w:rsid w:val="004C6E76"/>
    <w:rsid w:val="004D497D"/>
    <w:rsid w:val="004D647F"/>
    <w:rsid w:val="004E765C"/>
    <w:rsid w:val="004F64BC"/>
    <w:rsid w:val="004F783D"/>
    <w:rsid w:val="0051020B"/>
    <w:rsid w:val="00540422"/>
    <w:rsid w:val="005444F6"/>
    <w:rsid w:val="00550833"/>
    <w:rsid w:val="00554550"/>
    <w:rsid w:val="0057342D"/>
    <w:rsid w:val="00573711"/>
    <w:rsid w:val="005B4D5A"/>
    <w:rsid w:val="005E5066"/>
    <w:rsid w:val="00622107"/>
    <w:rsid w:val="006C1DD4"/>
    <w:rsid w:val="006D234F"/>
    <w:rsid w:val="006F24CE"/>
    <w:rsid w:val="007168A9"/>
    <w:rsid w:val="007745B1"/>
    <w:rsid w:val="00774FFA"/>
    <w:rsid w:val="00797E68"/>
    <w:rsid w:val="007F2CC8"/>
    <w:rsid w:val="00840BA8"/>
    <w:rsid w:val="00844362"/>
    <w:rsid w:val="00886F76"/>
    <w:rsid w:val="008C28FC"/>
    <w:rsid w:val="008E1A45"/>
    <w:rsid w:val="008F625E"/>
    <w:rsid w:val="00955DA9"/>
    <w:rsid w:val="00963C00"/>
    <w:rsid w:val="00964BFA"/>
    <w:rsid w:val="009655FE"/>
    <w:rsid w:val="00965C2A"/>
    <w:rsid w:val="009A5925"/>
    <w:rsid w:val="00A018F5"/>
    <w:rsid w:val="00A02C41"/>
    <w:rsid w:val="00A1407E"/>
    <w:rsid w:val="00A1428D"/>
    <w:rsid w:val="00A22556"/>
    <w:rsid w:val="00A80387"/>
    <w:rsid w:val="00AA5362"/>
    <w:rsid w:val="00AB4F73"/>
    <w:rsid w:val="00AB7D54"/>
    <w:rsid w:val="00AC47C1"/>
    <w:rsid w:val="00B00785"/>
    <w:rsid w:val="00B40A30"/>
    <w:rsid w:val="00B43AA8"/>
    <w:rsid w:val="00B47988"/>
    <w:rsid w:val="00B60954"/>
    <w:rsid w:val="00B67198"/>
    <w:rsid w:val="00B735E8"/>
    <w:rsid w:val="00B81915"/>
    <w:rsid w:val="00B85523"/>
    <w:rsid w:val="00B96387"/>
    <w:rsid w:val="00BA3B4D"/>
    <w:rsid w:val="00BA7D85"/>
    <w:rsid w:val="00BC20F2"/>
    <w:rsid w:val="00BC2128"/>
    <w:rsid w:val="00C02F16"/>
    <w:rsid w:val="00C04BE6"/>
    <w:rsid w:val="00C22A89"/>
    <w:rsid w:val="00C52E3D"/>
    <w:rsid w:val="00CA7C9D"/>
    <w:rsid w:val="00D36379"/>
    <w:rsid w:val="00D626F4"/>
    <w:rsid w:val="00D75DA4"/>
    <w:rsid w:val="00D83C45"/>
    <w:rsid w:val="00D95C45"/>
    <w:rsid w:val="00DA7917"/>
    <w:rsid w:val="00DB3CFC"/>
    <w:rsid w:val="00DE5BB6"/>
    <w:rsid w:val="00E43AEC"/>
    <w:rsid w:val="00EA34B5"/>
    <w:rsid w:val="00ED1723"/>
    <w:rsid w:val="00EF351A"/>
    <w:rsid w:val="00F12866"/>
    <w:rsid w:val="00F322B8"/>
    <w:rsid w:val="00F54528"/>
    <w:rsid w:val="00F546D1"/>
    <w:rsid w:val="00F96D8A"/>
    <w:rsid w:val="00FB492D"/>
    <w:rsid w:val="00FE0C3F"/>
    <w:rsid w:val="00FE261B"/>
    <w:rsid w:val="00FE7D52"/>
    <w:rsid w:val="00FF17A7"/>
    <w:rsid w:val="00FF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B0A095"/>
  <w15:docId w15:val="{51CD9BD2-08A3-46D8-8CAE-4B540C70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200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0B2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3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0B2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semiHidden/>
    <w:unhideWhenUsed/>
    <w:rsid w:val="00DA791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A79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791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79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A7917"/>
    <w:rPr>
      <w:b/>
      <w:bCs/>
    </w:rPr>
  </w:style>
  <w:style w:type="character" w:styleId="Hyperlink">
    <w:name w:val="Hyperlink"/>
    <w:basedOn w:val="DefaultParagraphFont"/>
    <w:unhideWhenUsed/>
    <w:rsid w:val="00B963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38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3D51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D517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F64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5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ACFB5EAD3B174A867EB7B9781782DF" ma:contentTypeVersion="9" ma:contentTypeDescription="Create a new document." ma:contentTypeScope="" ma:versionID="abbb909c3b59592031efa669c5ee7be1">
  <xsd:schema xmlns:xsd="http://www.w3.org/2001/XMLSchema" xmlns:xs="http://www.w3.org/2001/XMLSchema" xmlns:p="http://schemas.microsoft.com/office/2006/metadata/properties" xmlns:ns1="http://schemas.microsoft.com/sharepoint/v3" xmlns:ns2="18eea951-c1a4-4244-8cc7-be1efbfe7cb6" xmlns:ns3="16f00c2e-ac5c-418b-9f13-a0771dbd417d" targetNamespace="http://schemas.microsoft.com/office/2006/metadata/properties" ma:root="true" ma:fieldsID="490807251fd988fb31a8af76db2661a2" ns1:_="" ns2:_="" ns3:_="">
    <xsd:import namespace="http://schemas.microsoft.com/sharepoint/v3"/>
    <xsd:import namespace="18eea951-c1a4-4244-8cc7-be1efbfe7cb6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Year" minOccurs="0"/>
                <xsd:element ref="ns2:File_x0020_Category" minOccurs="0"/>
                <xsd:element ref="ns1:URL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ea951-c1a4-4244-8cc7-be1efbfe7cb6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Year" ma:index="5" nillable="true" ma:displayName="Provision Year" ma:format="Dropdown" ma:internalName="Provision_x0020_Year">
      <xsd:simpleType>
        <xsd:restriction base="dms:Choice">
          <xsd:enumeration value="2024 Standard Specifications"/>
        </xsd:restriction>
      </xsd:simpleType>
    </xsd:element>
    <xsd:element name="File_x0020_Category" ma:index="6" nillable="true" ma:displayName="File Category" ma:format="Dropdown" ma:internalName="File_x0020_Category">
      <xsd:simpleType>
        <xsd:restriction base="dms:Choice">
          <xsd:enumeration value="Featured"/>
          <xsd:enumeration value="Manual"/>
          <xsd:enumeration value="Application"/>
          <xsd:enumeration value="Spanish"/>
        </xsd:restriction>
      </xsd:simpleType>
    </xsd:element>
    <xsd:element name="Provision_x0020_Number" ma:index="8" nillable="true" ma:displayName="Provision Number" ma:internalName="Provision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ision xmlns="18eea951-c1a4-4244-8cc7-be1efbfe7cb6">REMOVE AND REPLACE CONCRETE TRANSITIONAL SECTION</Provision>
    <File_x0020_Category xmlns="18eea951-c1a4-4244-8cc7-be1efbfe7cb6" xsi:nil="true"/>
    <Provision_x0020_Number xmlns="18eea951-c1a4-4244-8cc7-be1efbfe7cb6">SPI 08-71</Provision_x0020_Number>
    <Let_x0020_Date xmlns="18eea951-c1a4-4244-8cc7-be1efbfe7cb6">2025-09</Let_x0020_Date>
    <Provision_x0020_Year xmlns="18eea951-c1a4-4244-8cc7-be1efbfe7cb6">2024 Standard Specifications</Provision_x0020_Year>
    <URL xmlns="http://schemas.microsoft.com/sharepoint/v3">
      <Url xsi:nil="true"/>
      <Description xsi:nil="true"/>
    </URL>
    <No_x002e_ xmlns="18eea951-c1a4-4244-8cc7-be1efbfe7cb6">SPI 08</No_x002e_>
  </documentManagement>
</p:properties>
</file>

<file path=customXml/itemProps1.xml><?xml version="1.0" encoding="utf-8"?>
<ds:datastoreItem xmlns:ds="http://schemas.openxmlformats.org/officeDocument/2006/customXml" ds:itemID="{25DF9B66-5E23-4D18-B32F-A16D7781CF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5A4312-4EA0-48DE-8A4D-8B40600207CB}"/>
</file>

<file path=customXml/itemProps3.xml><?xml version="1.0" encoding="utf-8"?>
<ds:datastoreItem xmlns:ds="http://schemas.openxmlformats.org/officeDocument/2006/customXml" ds:itemID="{8C57A925-0AE9-4030-AD5F-0C58DDEA10FD}"/>
</file>

<file path=customXml/itemProps4.xml><?xml version="1.0" encoding="utf-8"?>
<ds:datastoreItem xmlns:ds="http://schemas.openxmlformats.org/officeDocument/2006/customXml" ds:itemID="{9A108FE5-E69F-4823-A1C2-5C0068D66B8E}"/>
</file>

<file path=customXml/itemProps5.xml><?xml version="1.0" encoding="utf-8"?>
<ds:datastoreItem xmlns:ds="http://schemas.openxmlformats.org/officeDocument/2006/customXml" ds:itemID="{942E887D-5A38-4302-81C6-79133E691C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WEATHERING STEEL BEAM GUARDRAIL:</vt:lpstr>
    </vt:vector>
  </TitlesOfParts>
  <Company>NC Dept. of Transportation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REMOVE AND REPLACE CONCRETE TRANSITIONAL SECTION</dc:title>
  <dc:creator>Norma</dc:creator>
  <cp:lastModifiedBy>Penny, Lisa E</cp:lastModifiedBy>
  <cp:revision>3</cp:revision>
  <cp:lastPrinted>2009-12-18T11:37:00Z</cp:lastPrinted>
  <dcterms:created xsi:type="dcterms:W3CDTF">2025-07-31T17:57:00Z</dcterms:created>
  <dcterms:modified xsi:type="dcterms:W3CDTF">2025-07-31T17:57:00Z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0x01010070ACFB5EAD3B174A867EB7B9781782DF</vt:lpwstr>
  </property>
  <property fmtid="{D5CDD505-2E9C-101B-9397-08002B2CF9AE}" pid="3" name="Order">
    <vt:r8>28500</vt:r8>
  </property>
</Properties>
</file>